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rFonts w:ascii="Arial" w:cs="Arial" w:eastAsia="Arial" w:hAnsi="Arial"/>
          <w:b/>
          <w:bCs/>
          <w:sz w:val="48"/>
          <w:szCs w:val="48"/>
        </w:rPr>
        <w:t xml:space="preserve">Information Security Policy</w:t>
      </w:r>
    </w:p>
    <w:p>
      <w:pPr>
        <w:spacing w:after="320"/>
        <w:jc w:val="center"/>
      </w:pPr>
      <w:r>
        <w:rPr>
          <w:rFonts w:ascii="Arial" w:cs="Arial" w:eastAsia="Arial" w:hAnsi="Arial"/>
          <w:sz w:val="28"/>
          <w:szCs w:val="28"/>
        </w:rPr>
        <w:t xml:space="preserve">Kenilworth Townhome HOA, Inc.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Field</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Value</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Legal entity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Kenilworth Townhome HOA, Inc.</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EIN</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39-3169002</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Mailing address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1401 Kenilworth Ave, Charlotte NC 28203</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Contact</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hoa@kenilworth-hoa.com</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Service offering</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A residents-only web portal at kenilworth-hoa.com for the six unit owners at 1403–1413 Kenilworth Ave. Documents and payments only — not a public service.</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Document version</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1.0</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Effective date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2026-05-06</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Owner</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President, Kenilworth Townhome HOA, Inc.</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Review cadence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Annual, or upon material change to systems / processors / regulations</w:t>
            </w:r>
          </w:p>
        </w:tc>
      </w:tr>
    </w:tbl>
    <w:p>
      <w:r>
        <w:br w:type="page"/>
      </w:r>
    </w:p>
    <w:p>
      <w:pPr>
        <w:pStyle w:val="Heading1"/>
      </w:pPr>
      <w:r>
        <w:t xml:space="preserve">1. Purpose</w:t>
      </w:r>
    </w:p>
    <w:p>
      <w:pPr>
        <w:spacing w:after="120"/>
      </w:pPr>
      <w:r>
        <w:t xml:space="preserve">This Information Security Policy ("the Policy") sets out how Kenilworth Townhome HOA, Inc. ("the HOA") protects the data its residents entrust to the residents-only portal at kenilworth-hoa.com. The Policy is the umbrella document for all of the HOA’s security commitments, including those required by third-party financial-data providers (Plaid, Stripe) for continued data access.</w:t>
      </w:r>
    </w:p>
    <w:p>
      <w:pPr>
        <w:pStyle w:val="Heading1"/>
      </w:pPr>
      <w:r>
        <w:t xml:space="preserve">2. Scope</w:t>
      </w:r>
    </w:p>
    <w:p>
      <w:pPr>
        <w:spacing w:after="120"/>
      </w:pPr>
      <w:r>
        <w:t xml:space="preserve">The Policy applies to:</w:t>
      </w:r>
    </w:p>
    <w:p>
      <w:pPr>
        <w:pStyle w:val="ListParagraph"/>
        <w:numPr>
          <w:ilvl w:val="0"/>
          <w:numId w:val="2"/>
        </w:numPr>
        <w:spacing w:after="80"/>
      </w:pPr>
      <w:r>
        <w:t xml:space="preserve">All software, infrastructure, and operational processes that support the residents portal at kenilworth-hoa.com.</w:t>
      </w:r>
    </w:p>
    <w:p>
      <w:pPr>
        <w:pStyle w:val="ListParagraph"/>
        <w:numPr>
          <w:ilvl w:val="0"/>
          <w:numId w:val="2"/>
        </w:numPr>
        <w:spacing w:after="80"/>
      </w:pPr>
      <w:r>
        <w:t xml:space="preserve">Personal and financial data of unit owners, current tenants recorded by an owner, and HOA officers acting in their administrative capacity.</w:t>
      </w:r>
    </w:p>
    <w:p>
      <w:pPr>
        <w:pStyle w:val="ListParagraph"/>
        <w:numPr>
          <w:ilvl w:val="0"/>
          <w:numId w:val="2"/>
        </w:numPr>
        <w:spacing w:after="80"/>
      </w:pPr>
      <w:r>
        <w:t xml:space="preserve">Third-party service providers used to operate the portal (listed in §11).</w:t>
      </w:r>
    </w:p>
    <w:p>
      <w:pPr>
        <w:spacing w:after="120"/>
      </w:pPr>
      <w:r>
        <w:t xml:space="preserve">The Policy does not cover the HOA’s offline records (paper meeting minutes, vendor contracts, insurance documents) which are governed by the HOA’s bylaws and corporate records-retention practices.</w:t>
      </w:r>
    </w:p>
    <w:p>
      <w:pPr>
        <w:pStyle w:val="Heading1"/>
      </w:pPr>
      <w:r>
        <w:t xml:space="preserve">3. Roles and Responsibilities</w:t>
      </w:r>
    </w:p>
    <w:p>
      <w:pPr>
        <w:spacing w:after="120"/>
      </w:pPr>
      <w:r>
        <w:t xml:space="preserve">The HOA is a self-managed 6-unit association. Three officers carry administrative responsibility: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Role</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Information-security responsibilities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President</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Overall accountability for the Policy. Reviews and approves changes. Approves admin-account provisioning and de-provisioning.</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Treasurer</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Operational ownership of payment-related systems (Stripe, Plaid). Approves changes to billing data and reconciliation processes.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Secretary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Records access reviews and maintains the audit trail of approvals.</w:t>
            </w:r>
          </w:p>
        </w:tc>
      </w:tr>
    </w:tbl>
    <w:p>
      <w:pPr>
        <w:spacing w:after="120"/>
      </w:pPr>
      <w:r>
        <w:t xml:space="preserve">The President is the sole accountable signer of attestations made to third-party providers on the HOA’s behalf.</w:t>
      </w:r>
    </w:p>
    <w:p>
      <w:pPr>
        <w:pStyle w:val="Heading1"/>
      </w:pPr>
      <w:r>
        <w:t xml:space="preserve">4. Information Security Principles</w:t>
      </w:r>
    </w:p>
    <w:p>
      <w:pPr>
        <w:spacing w:after="120"/>
      </w:pPr>
      <w:r>
        <w:t xml:space="preserve">The HOA commits to:</w:t>
      </w:r>
    </w:p>
    <w:p>
      <w:pPr>
        <w:pStyle w:val="ListParagraph"/>
        <w:numPr>
          <w:ilvl w:val="0"/>
          <w:numId w:val="3"/>
        </w:numPr>
        <w:spacing w:after="80"/>
      </w:pPr>
      <w:r>
        <w:t xml:space="preserve">Collecting only the data needed to operate the residents portal (least-data principle).</w:t>
      </w:r>
    </w:p>
    <w:p>
      <w:pPr>
        <w:pStyle w:val="ListParagraph"/>
        <w:numPr>
          <w:ilvl w:val="0"/>
          <w:numId w:val="3"/>
        </w:numPr>
        <w:spacing w:after="80"/>
      </w:pPr>
      <w:r>
        <w:t xml:space="preserve">Encrypting sensitive data at rest and in transit.</w:t>
      </w:r>
    </w:p>
    <w:p>
      <w:pPr>
        <w:pStyle w:val="ListParagraph"/>
        <w:numPr>
          <w:ilvl w:val="0"/>
          <w:numId w:val="3"/>
        </w:numPr>
        <w:spacing w:after="80"/>
      </w:pPr>
      <w:r>
        <w:t xml:space="preserve">Restricting administrative access to current officers and removing it promptly when an officer’s role ends.</w:t>
      </w:r>
    </w:p>
    <w:p>
      <w:pPr>
        <w:pStyle w:val="ListParagraph"/>
        <w:numPr>
          <w:ilvl w:val="0"/>
          <w:numId w:val="3"/>
        </w:numPr>
        <w:spacing w:after="80"/>
      </w:pPr>
      <w:r>
        <w:t xml:space="preserve">Patching identified software vulnerabilities within defined timeframes (§7).</w:t>
      </w:r>
    </w:p>
    <w:p>
      <w:pPr>
        <w:pStyle w:val="ListParagraph"/>
        <w:numPr>
          <w:ilvl w:val="0"/>
          <w:numId w:val="3"/>
        </w:numPr>
        <w:spacing w:after="80"/>
      </w:pPr>
      <w:r>
        <w:t xml:space="preserve">Monitoring its software stack for end-of-life status (§8) and upgrading in advance of EOL.</w:t>
      </w:r>
    </w:p>
    <w:p>
      <w:pPr>
        <w:pStyle w:val="ListParagraph"/>
        <w:numPr>
          <w:ilvl w:val="0"/>
          <w:numId w:val="3"/>
        </w:numPr>
        <w:spacing w:after="80"/>
      </w:pPr>
      <w:r>
        <w:t xml:space="preserve">Reviewing access privileges and the inventory of linked third-party services on a periodic cadence (§9).</w:t>
      </w:r>
    </w:p>
    <w:p>
      <w:pPr>
        <w:pStyle w:val="ListParagraph"/>
        <w:numPr>
          <w:ilvl w:val="0"/>
          <w:numId w:val="3"/>
        </w:numPr>
        <w:spacing w:after="80"/>
      </w:pPr>
      <w:r>
        <w:t xml:space="preserve">Communicating material data-handling changes to residents through the channels in the Privacy policy.</w:t>
      </w:r>
    </w:p>
    <w:p>
      <w:pPr>
        <w:pStyle w:val="Heading1"/>
      </w:pPr>
      <w:r>
        <w:t xml:space="preserve">5. Access Control</w:t>
      </w:r>
    </w:p>
    <w:p>
      <w:pPr>
        <w:pStyle w:val="Heading2"/>
      </w:pPr>
      <w:r>
        <w:t xml:space="preserve">5.1 Authentication</w:t>
      </w:r>
    </w:p>
    <w:p>
      <w:pPr>
        <w:pStyle w:val="ListParagraph"/>
        <w:numPr>
          <w:ilvl w:val="0"/>
          <w:numId w:val="2"/>
        </w:numPr>
        <w:spacing w:after="80"/>
      </w:pPr>
      <w:r>
        <w:t xml:space="preserve">All portal accounts authenticate with email + password. Passwords are hashed with bcrypt before storage; the plaintext password is never persisted.</w:t>
      </w:r>
    </w:p>
    <w:p>
      <w:pPr>
        <w:pStyle w:val="ListParagraph"/>
        <w:numPr>
          <w:ilvl w:val="0"/>
          <w:numId w:val="2"/>
        </w:numPr>
        <w:spacing w:after="80"/>
      </w:pPr>
      <w:r>
        <w:t xml:space="preserve">Two-factor authentication (TOTP) is available for all accounts and required for any officer holding administrative privileges. TOTP secrets are encrypted at rest using AES-256-GCM with a key derived from the application authentication secret.</w:t>
      </w:r>
    </w:p>
    <w:p>
      <w:pPr>
        <w:pStyle w:val="ListParagraph"/>
        <w:numPr>
          <w:ilvl w:val="0"/>
          <w:numId w:val="2"/>
        </w:numPr>
        <w:spacing w:after="80"/>
      </w:pPr>
      <w:r>
        <w:t xml:space="preserve">Session cookies are HTTP-only, secure, and signed. Session tokens carry a maximum 30-day validity, with a per-request database lookup that revokes the session immediately if the underlying account is deactivated.</w:t>
      </w:r>
    </w:p>
    <w:p>
      <w:pPr>
        <w:pStyle w:val="Heading2"/>
      </w:pPr>
      <w:r>
        <w:t xml:space="preserve">5.2 Authorization</w:t>
      </w:r>
    </w:p>
    <w:p>
      <w:pPr>
        <w:pStyle w:val="ListParagraph"/>
        <w:numPr>
          <w:ilvl w:val="0"/>
          <w:numId w:val="2"/>
        </w:numPr>
        <w:spacing w:after="80"/>
      </w:pPr>
      <w:r>
        <w:t xml:space="preserve">The portal recognizes two roles: administrator (HOA officers) and resident (unit owners).</w:t>
      </w:r>
    </w:p>
    <w:p>
      <w:pPr>
        <w:pStyle w:val="ListParagraph"/>
        <w:numPr>
          <w:ilvl w:val="0"/>
          <w:numId w:val="2"/>
        </w:numPr>
        <w:spacing w:after="80"/>
      </w:pPr>
      <w:r>
        <w:t xml:space="preserve">All administrative routes are gated server-side with a requireAdmin() check that runs before any data is rendered or mutated. Client-side hiding of admin UI is treated as cosmetic only — server-side enforcement is the sole authority.</w:t>
      </w:r>
    </w:p>
    <w:p>
      <w:pPr>
        <w:pStyle w:val="ListParagraph"/>
        <w:numPr>
          <w:ilvl w:val="0"/>
          <w:numId w:val="2"/>
        </w:numPr>
        <w:spacing w:after="80"/>
      </w:pPr>
      <w:r>
        <w:t xml:space="preserve">Resident-scoped queries are constrained at the data layer: a resident may only view records (charges, payments, documents) tied to a unit they currently own (via an active ownership tenure).</w:t>
      </w:r>
    </w:p>
    <w:p>
      <w:pPr>
        <w:pStyle w:val="Heading2"/>
      </w:pPr>
      <w:r>
        <w:t xml:space="preserve">5.3 Account provisioning</w:t>
      </w:r>
    </w:p>
    <w:p>
      <w:pPr>
        <w:spacing w:after="120"/>
      </w:pPr>
      <w:r>
        <w:t xml:space="preserve">Account creation is admin-provisioned only. There is no public sign-up. New accounts are issued with a single-use invite token, expire if unused, and require the recipient to set their own password before first sign-in.</w:t>
      </w:r>
    </w:p>
    <w:p>
      <w:pPr>
        <w:pStyle w:val="Heading1"/>
      </w:pPr>
      <w:r>
        <w:t xml:space="preserve">6. De-Provisioning of Access</w:t>
      </w:r>
    </w:p>
    <w:p>
      <w:pPr>
        <w:spacing w:after="120"/>
      </w:pPr>
      <w:r>
        <w:t xml:space="preserve">When an HOA officer’s term ends, when an owner sells their unit, or when an account otherwise no longer requires access:</w:t>
      </w:r>
    </w:p>
    <w:p>
      <w:pPr>
        <w:pStyle w:val="ListParagraph"/>
        <w:numPr>
          <w:ilvl w:val="0"/>
          <w:numId w:val="3"/>
        </w:numPr>
        <w:spacing w:after="80"/>
      </w:pPr>
      <w:r>
        <w:t xml:space="preserve">An administrator marks the user as soft-deleted in the portal.</w:t>
      </w:r>
    </w:p>
    <w:p>
      <w:pPr>
        <w:pStyle w:val="ListParagraph"/>
        <w:numPr>
          <w:ilvl w:val="0"/>
          <w:numId w:val="3"/>
        </w:numPr>
        <w:spacing w:after="80"/>
      </w:pPr>
      <w:r>
        <w:t xml:space="preserve">Soft-deletion sets a deleted_at timestamp on the user record. The per-request session validation described in §5.1 detects the deletion and refuses to issue or refresh sessions for that account on the next request — typical effective revocation time is under 60 seconds of administrator action, capped at the JWT lifetime (30 days) only if the user happens not to make any request in between.</w:t>
      </w:r>
    </w:p>
    <w:p>
      <w:pPr>
        <w:pStyle w:val="ListParagraph"/>
        <w:numPr>
          <w:ilvl w:val="0"/>
          <w:numId w:val="3"/>
        </w:numPr>
        <w:spacing w:after="80"/>
      </w:pPr>
      <w:r>
        <w:t xml:space="preserve">Soft-deleted user records remain in the database for tenure auditability (charges, payments, and document uploads tied to the closed tenure stay attached to it).</w:t>
      </w:r>
    </w:p>
    <w:p>
      <w:pPr>
        <w:pStyle w:val="ListParagraph"/>
        <w:numPr>
          <w:ilvl w:val="0"/>
          <w:numId w:val="3"/>
        </w:numPr>
        <w:spacing w:after="80"/>
      </w:pPr>
      <w:r>
        <w:t xml:space="preserve">Hard deletion of the personal-profile fields (name, email, optional phone, optional profile image) can be requested by the user or initiated by an administrator under the Data Retention policy.</w:t>
      </w:r>
    </w:p>
    <w:p>
      <w:pPr>
        <w:spacing w:after="120"/>
      </w:pPr>
      <w:r>
        <w:t xml:space="preserve">This procedure constitutes the HOA’s automated de-provisioning of access.</w:t>
      </w:r>
    </w:p>
    <w:p>
      <w:pPr>
        <w:pStyle w:val="Heading1"/>
      </w:pPr>
      <w:r>
        <w:t xml:space="preserve">7. Vulnerability Management and Patching</w:t>
      </w:r>
    </w:p>
    <w:p>
      <w:pPr>
        <w:pStyle w:val="Heading2"/>
      </w:pPr>
      <w:r>
        <w:t xml:space="preserve">7.1 Identification</w:t>
      </w:r>
    </w:p>
    <w:p>
      <w:pPr>
        <w:spacing w:after="120"/>
      </w:pPr>
      <w:r>
        <w:t xml:space="preserve">The HOA’s source repository is configured with GitHub Dependabot for both software-composition vulnerability alerts and automated security fix pull requests. Alerts cover the npm dependency tree and the GitHub Actions used in CI workflows. The HOA also subscribes to security advisories from each of its primary platform providers (Vercel, Neon, Sentry).</w:t>
      </w:r>
    </w:p>
    <w:p>
      <w:pPr>
        <w:pStyle w:val="Heading2"/>
      </w:pPr>
      <w:r>
        <w:t xml:space="preserve">7.2 Classification</w:t>
      </w:r>
    </w:p>
    <w:p>
      <w:pPr>
        <w:spacing w:after="120"/>
      </w:pPr>
      <w:r>
        <w:t xml:space="preserve">Vulnerabilities are classified by their CVSS v3 base score, as published in the Dependabot or upstream advisory: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Severity</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CVSS range</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Critical</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9.0–10.0</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High</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7.0–8.9</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Medium</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4.0–6.9</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Low</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0.1–3.9</w:t>
            </w:r>
          </w:p>
        </w:tc>
      </w:tr>
    </w:tbl>
    <w:p>
      <w:pPr>
        <w:pStyle w:val="Heading2"/>
      </w:pPr>
      <w:r>
        <w:t xml:space="preserve">7.3 Patching service-level agreements</w:t>
      </w:r>
    </w:p>
    <w:p>
      <w:pPr>
        <w:spacing w:after="120"/>
      </w:pPr>
      <w:r>
        <w:t xml:space="preserve">The HOA commits to remediating identified vulnerabilities within the following timeframes from the date the alert is received: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Severity</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Patching SLA</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Critical</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72 hours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High</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14 days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Medium</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30 days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Low</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90 days</w:t>
            </w:r>
          </w:p>
        </w:tc>
      </w:tr>
    </w:tbl>
    <w:p>
      <w:pPr>
        <w:spacing w:after="120"/>
      </w:pPr>
      <w:r>
        <w:t xml:space="preserve">"Remediation" means applying the upstream fix, applying a documented mitigation, or accepting the risk in writing with the President’s approval. Risk acceptance is reviewed at each periodic access review (§9).</w:t>
      </w:r>
    </w:p>
    <w:p>
      <w:pPr>
        <w:pStyle w:val="Heading2"/>
      </w:pPr>
      <w:r>
        <w:t xml:space="preserve">7.4 Recent activity</w:t>
      </w:r>
    </w:p>
    <w:p>
      <w:pPr>
        <w:spacing w:after="120"/>
      </w:pPr>
      <w:r>
        <w:t xml:space="preserve">Recent Dependabot activity is part of the audit record. As of the effective date of this Policy, two historical alerts (a postcss cross-site-scripting issue and an esbuild development-server CORS issue) had both been resolved automatically by Dependabot’s security-fix pull requests. The HOA has zero open vulnerability alerts.</w:t>
      </w:r>
    </w:p>
    <w:p>
      <w:pPr>
        <w:pStyle w:val="Heading1"/>
      </w:pPr>
      <w:r>
        <w:t xml:space="preserve">8. End-of-Life Software Monitoring</w:t>
      </w:r>
    </w:p>
    <w:p>
      <w:pPr>
        <w:spacing w:after="120"/>
      </w:pPr>
      <w:r>
        <w:t xml:space="preserve">The HOA commits to monitoring the end-of-life status of its primary stack components and upgrading in advance of the EOL date.</w:t>
      </w:r>
    </w:p>
    <w:p>
      <w:pPr>
        <w:pStyle w:val="Heading2"/>
      </w:pPr>
      <w:r>
        <w:t xml:space="preserve">8.1 Primary stack and EOL stance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Component</w:t>
            </w:r>
          </w:p>
        </w:tc>
        <w:tc>
          <w:tcPr>
            <w:tcW w:type="dxa" w:w="312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Current version</w:t>
            </w:r>
          </w:p>
        </w:tc>
        <w:tc>
          <w:tcPr>
            <w:tcW w:type="dxa" w:w="312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EOL stance</w:t>
            </w:r>
          </w:p>
        </w:tc>
      </w:tr>
      <w:tr>
        <w:trPr>
          <w:tblHeader w:val="false"/>
        </w:trP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Node.js runtime</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22 LTS</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Upgrade to next LTS within 6 months of LTS handover</w:t>
            </w:r>
          </w:p>
        </w:tc>
      </w:tr>
      <w:tr>
        <w:trPr>
          <w:tblHeader w:val="false"/>
        </w:trP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Next.js framework</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16 (current major)</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Upgrade to next major within 6 months of release</w:t>
            </w:r>
          </w:p>
        </w:tc>
      </w:tr>
      <w:tr>
        <w:trPr>
          <w:tblHeader w:val="false"/>
        </w:trP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pnpm package manager</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10</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Track current major</w:t>
            </w:r>
          </w:p>
        </w:tc>
      </w:tr>
      <w:tr>
        <w:trPr>
          <w:tblHeader w:val="false"/>
        </w:trP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PostgreSQL (Neon-managed)</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Provider-managed; tracks Neon's supported versions</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Migrate when Neon issues an end-of-support notice</w:t>
            </w:r>
          </w:p>
        </w:tc>
      </w:tr>
      <w:tr>
        <w:trPr>
          <w:tblHeader w:val="false"/>
        </w:trP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Vercel platform runtime</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Provider-managed</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Track Vercel's supported runtimes</w:t>
            </w:r>
          </w:p>
        </w:tc>
      </w:tr>
    </w:tbl>
    <w:p>
      <w:pPr>
        <w:pStyle w:val="Heading2"/>
      </w:pPr>
      <w:r>
        <w:t xml:space="preserve">8.2 Mechanism</w:t>
      </w:r>
    </w:p>
    <w:p>
      <w:pPr>
        <w:spacing w:after="120"/>
      </w:pPr>
      <w:r>
        <w:t xml:space="preserve">Dependabot version-update alerts cover the npm and GitHub Actions dependency trees on a weekly cadence; the HOA reviews these alerts as part of the periodic access review (§9). For platform-managed components (Neon, Vercel), the HOA monitors the providers’ end-of-life announcements through their published support channels.</w:t>
      </w:r>
    </w:p>
    <w:p>
      <w:pPr>
        <w:pStyle w:val="Heading1"/>
      </w:pPr>
      <w:r>
        <w:t xml:space="preserve">9. Periodic Access Review</w:t>
      </w:r>
    </w:p>
    <w:p>
      <w:pPr>
        <w:spacing w:after="120"/>
      </w:pPr>
      <w:r>
        <w:t xml:space="preserve">The HOA conducts an access review on a quarterly cadence. Each review covers:</w:t>
      </w:r>
    </w:p>
    <w:p>
      <w:pPr>
        <w:pStyle w:val="ListParagraph"/>
        <w:numPr>
          <w:ilvl w:val="0"/>
          <w:numId w:val="3"/>
        </w:numPr>
        <w:spacing w:after="80"/>
      </w:pPr>
      <w:r>
        <w:t xml:space="preserve">The list of administrator and resident accounts active in the portal, and confirmation that each still corresponds to a current officer or current owner.</w:t>
      </w:r>
    </w:p>
    <w:p>
      <w:pPr>
        <w:pStyle w:val="ListParagraph"/>
        <w:numPr>
          <w:ilvl w:val="0"/>
          <w:numId w:val="3"/>
        </w:numPr>
        <w:spacing w:after="80"/>
      </w:pPr>
      <w:r>
        <w:t xml:space="preserve">The list of linked third-party Items (Plaid bank links, Stripe customers, Google Drive service accounts) and confirmation that each is still required.</w:t>
      </w:r>
    </w:p>
    <w:p>
      <w:pPr>
        <w:pStyle w:val="ListParagraph"/>
        <w:numPr>
          <w:ilvl w:val="0"/>
          <w:numId w:val="3"/>
        </w:numPr>
        <w:spacing w:after="80"/>
      </w:pPr>
      <w:r>
        <w:t xml:space="preserve">The status of any open vulnerability alerts and their position relative to the SLAs in §7.</w:t>
      </w:r>
    </w:p>
    <w:p>
      <w:pPr>
        <w:pStyle w:val="ListParagraph"/>
        <w:numPr>
          <w:ilvl w:val="0"/>
          <w:numId w:val="3"/>
        </w:numPr>
        <w:spacing w:after="80"/>
      </w:pPr>
      <w:r>
        <w:t xml:space="preserve">Any changes to processor list or data flows that would warrant a Privacy policy update.</w:t>
      </w:r>
    </w:p>
    <w:p>
      <w:pPr>
        <w:spacing w:after="120"/>
      </w:pPr>
      <w:r>
        <w:t xml:space="preserve">The Secretary records the date of each review, who participated, and any actions taken. Reviews and their actions are retained as part of the HOA’s records.</w:t>
      </w:r>
    </w:p>
    <w:p>
      <w:pPr>
        <w:pStyle w:val="Heading1"/>
      </w:pPr>
      <w:r>
        <w:t xml:space="preserve">10. Data Encryption</w:t>
      </w:r>
    </w:p>
    <w:p>
      <w:pPr>
        <w:pStyle w:val="Heading2"/>
      </w:pPr>
      <w:r>
        <w:t xml:space="preserve">10.1 Data in transit</w:t>
      </w:r>
    </w:p>
    <w:p>
      <w:pPr>
        <w:spacing w:after="120"/>
      </w:pPr>
      <w:r>
        <w:t xml:space="preserve">All traffic to and from kenilworth-hoa.com is served over TLS, terminated at the Vercel edge. Connections to all third-party APIs (Stripe, Plaid, Google, Resend, Sentry, Neon) are TLS-only.</w:t>
      </w:r>
    </w:p>
    <w:p>
      <w:pPr>
        <w:pStyle w:val="Heading2"/>
      </w:pPr>
      <w:r>
        <w:t xml:space="preserve">10.2 Data at rest</w:t>
      </w:r>
    </w:p>
    <w:p>
      <w:pPr>
        <w:pStyle w:val="ListParagraph"/>
        <w:numPr>
          <w:ilvl w:val="0"/>
          <w:numId w:val="2"/>
        </w:numPr>
        <w:spacing w:after="80"/>
      </w:pPr>
      <w:r>
        <w:t xml:space="preserve">Passwords: hashed with bcrypt; plaintext is never persisted.</w:t>
      </w:r>
    </w:p>
    <w:p>
      <w:pPr>
        <w:pStyle w:val="ListParagraph"/>
        <w:numPr>
          <w:ilvl w:val="0"/>
          <w:numId w:val="2"/>
        </w:numPr>
        <w:spacing w:after="80"/>
      </w:pPr>
      <w:r>
        <w:t xml:space="preserve">Two-factor secrets: encrypted with AES-256-GCM. The encryption key is derived from the application authentication secret via SHA-256.</w:t>
      </w:r>
    </w:p>
    <w:p>
      <w:pPr>
        <w:pStyle w:val="ListParagraph"/>
        <w:numPr>
          <w:ilvl w:val="0"/>
          <w:numId w:val="2"/>
        </w:numPr>
        <w:spacing w:after="80"/>
      </w:pPr>
      <w:r>
        <w:t xml:space="preserve">Plaid access tokens: encrypted with AES-256-GCM. The encryption key is domain-separated from the two-factor key by deriving it from a "plaid:" prefix concatenated with the application authentication secret. A leak of the two-factor key cannot decrypt Plaid access tokens, and vice versa.</w:t>
      </w:r>
    </w:p>
    <w:p>
      <w:pPr>
        <w:pStyle w:val="ListParagraph"/>
        <w:numPr>
          <w:ilvl w:val="0"/>
          <w:numId w:val="2"/>
        </w:numPr>
        <w:spacing w:after="80"/>
      </w:pPr>
      <w:r>
        <w:t xml:space="preserve">Database storage: managed by Neon, which encrypts customer data at rest under Neon’s storage-layer encryption.</w:t>
      </w:r>
    </w:p>
    <w:p>
      <w:pPr>
        <w:pStyle w:val="ListParagraph"/>
        <w:numPr>
          <w:ilvl w:val="0"/>
          <w:numId w:val="2"/>
        </w:numPr>
        <w:spacing w:after="80"/>
      </w:pPr>
      <w:r>
        <w:t xml:space="preserve">Document storage: managed by Google Drive under the HOA’s Google Workspace, which provides at-rest encryption.</w:t>
      </w:r>
    </w:p>
    <w:p>
      <w:pPr>
        <w:pStyle w:val="Heading1"/>
      </w:pPr>
      <w:r>
        <w:t xml:space="preserve">11. Third-Party Service Providers</w:t>
      </w:r>
    </w:p>
    <w:p>
      <w:pPr>
        <w:spacing w:after="120"/>
      </w:pPr>
      <w:r>
        <w:t xml:space="preserve">The HOA relies on the following processors. Each is governed by its own data-processing terms and privacy policy. The roster below is reviewed at each periodic access review (§9).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Processor</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Purpose</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Vercel</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Web application hosting, edge TLS, request logging</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Neon</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Managed PostgreSQL database</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Stripe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ACH payment processing for resident dues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Plaid</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Read-only sync of the HOA's own operating bank account; resident bank accounts are not linked through Plaid</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Google (Drive + Workspace)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Document storage for HOA-published documents and unit-specific document uploads; HOA email</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Resend</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Transactional email delivery (invites, password resets, reminders)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Sentry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Application error monitoring; outgoing reports are scrubbed of personal information</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GitHub</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Source-code repository and CI/CD</w:t>
            </w:r>
          </w:p>
        </w:tc>
      </w:tr>
    </w:tbl>
    <w:p>
      <w:pPr>
        <w:pStyle w:val="Heading1"/>
      </w:pPr>
      <w:r>
        <w:t xml:space="preserve">12. Incident Response</w:t>
      </w:r>
    </w:p>
    <w:p>
      <w:pPr>
        <w:pStyle w:val="Heading2"/>
      </w:pPr>
      <w:r>
        <w:t xml:space="preserve">12.1 Detection</w:t>
      </w:r>
    </w:p>
    <w:p>
      <w:pPr>
        <w:pStyle w:val="ListParagraph"/>
        <w:numPr>
          <w:ilvl w:val="0"/>
          <w:numId w:val="2"/>
        </w:numPr>
        <w:spacing w:after="80"/>
      </w:pPr>
      <w:r>
        <w:t xml:space="preserve">Application errors and exceptions are reported in real time to Sentry. Reports are scrubbed of personal information; only an internal user identifier is attached.</w:t>
      </w:r>
    </w:p>
    <w:p>
      <w:pPr>
        <w:pStyle w:val="ListParagraph"/>
        <w:numPr>
          <w:ilvl w:val="0"/>
          <w:numId w:val="2"/>
        </w:numPr>
        <w:spacing w:after="80"/>
      </w:pPr>
      <w:r>
        <w:t xml:space="preserve">Provider-level incidents (Vercel, Neon, Stripe, Plaid, Google, Resend) are surfaced through each provider’s status page and incident notification email.</w:t>
      </w:r>
    </w:p>
    <w:p>
      <w:pPr>
        <w:pStyle w:val="Heading2"/>
      </w:pPr>
      <w:r>
        <w:t xml:space="preserve">12.2 Response</w:t>
      </w:r>
    </w:p>
    <w:p>
      <w:pPr>
        <w:spacing w:after="120"/>
      </w:pPr>
      <w:r>
        <w:t xml:space="preserve">When a security incident is identified:</w:t>
      </w:r>
    </w:p>
    <w:p>
      <w:pPr>
        <w:pStyle w:val="ListParagraph"/>
        <w:numPr>
          <w:ilvl w:val="0"/>
          <w:numId w:val="3"/>
        </w:numPr>
        <w:spacing w:after="80"/>
      </w:pPr>
      <w:r>
        <w:t xml:space="preserve">The President is notified immediately.</w:t>
      </w:r>
    </w:p>
    <w:p>
      <w:pPr>
        <w:pStyle w:val="ListParagraph"/>
        <w:numPr>
          <w:ilvl w:val="0"/>
          <w:numId w:val="3"/>
        </w:numPr>
        <w:spacing w:after="80"/>
      </w:pPr>
      <w:r>
        <w:t xml:space="preserve">If the incident exposes resident data or compromises authentication, residents are notified via email through the Privacy-policy contact channel within a reasonable time, generally not to exceed 72 hours from the time the HOA confirms the impact.</w:t>
      </w:r>
    </w:p>
    <w:p>
      <w:pPr>
        <w:pStyle w:val="ListParagraph"/>
        <w:numPr>
          <w:ilvl w:val="0"/>
          <w:numId w:val="3"/>
        </w:numPr>
        <w:spacing w:after="80"/>
      </w:pPr>
      <w:r>
        <w:t xml:space="preserve">The Secretary records the incident, its impact, and the corrective actions taken in the HOA’s records.</w:t>
      </w:r>
    </w:p>
    <w:p>
      <w:pPr>
        <w:pStyle w:val="Heading1"/>
      </w:pPr>
      <w:r>
        <w:t xml:space="preserve">13. Data Retention</w:t>
      </w:r>
    </w:p>
    <w:p>
      <w:pPr>
        <w:spacing w:after="120"/>
      </w:pPr>
      <w:r>
        <w:t xml:space="preserve">Retention windows for each data category, the events that trigger disposal, and the procedures used to dispose of data are documented in the HOA’s Data Retention and Disposal Policy, published at:</w:t>
      </w:r>
    </w:p>
    <w:p>
      <w:pPr>
        <w:spacing w:after="120"/>
      </w:pPr>
      <w:hyperlink w:history="1" r:id="rIdaxd58n5hm63tlpotaczwo">
        <w:r>
          <w:rPr>
            <w:rStyle w:val="Hyperlink"/>
          </w:rPr>
          <w:t xml:space="preserve">https://kenilworth-hoa.com/data-retention</w:t>
        </w:r>
      </w:hyperlink>
    </w:p>
    <w:p>
      <w:pPr>
        <w:pStyle w:val="Heading1"/>
      </w:pPr>
      <w:r>
        <w:t xml:space="preserve">14. Acceptable Use</w:t>
      </w:r>
    </w:p>
    <w:p>
      <w:pPr>
        <w:spacing w:after="120"/>
      </w:pPr>
      <w:r>
        <w:t xml:space="preserve">User-facing acceptable-use rules — including authorized users, account-credential handling, payment authorization, and prohibited activity — are documented in the HOA’s Terms of Service, published at:</w:t>
      </w:r>
    </w:p>
    <w:p>
      <w:pPr>
        <w:spacing w:after="120"/>
      </w:pPr>
      <w:hyperlink w:history="1" r:id="rIdzdbxzesjfdd2nxztxs8cr">
        <w:r>
          <w:rPr>
            <w:rStyle w:val="Hyperlink"/>
          </w:rPr>
          <w:t xml:space="preserve">https://kenilworth-hoa.com/terms</w:t>
        </w:r>
      </w:hyperlink>
    </w:p>
    <w:p>
      <w:pPr>
        <w:pStyle w:val="Heading1"/>
      </w:pPr>
      <w:r>
        <w:t xml:space="preserve">15. Privacy</w:t>
      </w:r>
    </w:p>
    <w:p>
      <w:pPr>
        <w:spacing w:after="120"/>
      </w:pPr>
      <w:r>
        <w:t xml:space="preserve">The HOA’s privacy practices — including what data is collected, how it is used, who it is shared with, and the rights residents have over their data — are documented in the HOA’s Privacy Policy, published at:</w:t>
      </w:r>
    </w:p>
    <w:p>
      <w:pPr>
        <w:spacing w:after="120"/>
      </w:pPr>
      <w:hyperlink w:history="1" r:id="rId1fprk9c3i9tres7rynrc_">
        <w:r>
          <w:rPr>
            <w:rStyle w:val="Hyperlink"/>
          </w:rPr>
          <w:t xml:space="preserve">https://kenilworth-hoa.com/privacy</w:t>
        </w:r>
      </w:hyperlink>
    </w:p>
    <w:p>
      <w:pPr>
        <w:pStyle w:val="Heading1"/>
      </w:pPr>
      <w:r>
        <w:t xml:space="preserve">16. Policy Review and Approval</w:t>
      </w:r>
    </w:p>
    <w:p>
      <w:pPr>
        <w:spacing w:after="120"/>
      </w:pPr>
      <w:r>
        <w:t xml:space="preserve">This Policy is reviewed at least annually and whenever a material change in systems, processors, or applicable regulations warrants an update. The version history below records each approved revision.</w:t>
      </w:r>
    </w:p>
    <w:p>
      <w:pPr>
        <w:pStyle w:val="Heading3"/>
      </w:pPr>
      <w: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Version</w:t>
            </w:r>
          </w:p>
        </w:tc>
        <w:tc>
          <w:tcPr>
            <w:tcW w:type="dxa" w:w="312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Effective date</w:t>
            </w:r>
          </w:p>
        </w:tc>
        <w:tc>
          <w:tcPr>
            <w:tcW w:type="dxa" w:w="312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Summary</w:t>
            </w:r>
          </w:p>
        </w:tc>
      </w:tr>
      <w:tr>
        <w:trPr>
          <w:tblHeader w:val="false"/>
        </w:trPr>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1.0</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2026-05-06</w:t>
            </w:r>
          </w:p>
        </w:tc>
        <w:tc>
          <w:tcPr>
            <w:tcW w:type="dxa" w:w="312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Initial policy issued in connection with Plaid Production data-access compliance and the upcoming D&amp;O insurance review.</w:t>
            </w:r>
          </w:p>
        </w:tc>
      </w:tr>
    </w:tbl>
    <w:p>
      <w:pPr>
        <w:pStyle w:val="Heading3"/>
      </w:pPr>
      <w:r>
        <w:t xml:space="preserve">Approval</w:t>
      </w:r>
    </w:p>
    <w:p>
      <w:pPr>
        <w:spacing w:after="120"/>
      </w:pPr>
      <w:r>
        <w:t xml:space="preserve">Approved on behalf of Kenilworth Townhome HOA, Inc.: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Field</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Value</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Name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Mark Saleh</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Title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President</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Date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____________________</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Signature</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____________________</w:t>
            </w:r>
          </w:p>
        </w:tc>
      </w:tr>
    </w:tbl>
    <w:p>
      <w:r>
        <w:br w:type="page"/>
      </w:r>
    </w:p>
    <w:p>
      <w:pPr>
        <w:pStyle w:val="Heading1"/>
      </w:pPr>
      <w:r>
        <w:t xml:space="preserve">Appendix A — Plaid Attestation Coverage</w:t>
      </w:r>
    </w:p>
    <w:p>
      <w:pPr>
        <w:spacing w:after="120"/>
      </w:pPr>
      <w:r>
        <w:t xml:space="preserve">The HOA’s Plaid Production data-access requires attestation to six security practices in the Plaid Compliance Center → Data Security tab. The mapping below identifies the Policy section that supports each attestation.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Plaid attestation</w:t>
            </w:r>
          </w:p>
        </w:tc>
        <w:tc>
          <w:tcPr>
            <w:tcW w:type="dxa" w:w="4680"/>
            <w:tcBorders>
              <w:top w:val="single" w:color="CCCCCC" w:sz="4"/>
              <w:left w:val="single" w:color="CCCCCC" w:sz="4"/>
              <w:bottom w:val="single" w:color="CCCCCC" w:sz="4"/>
              <w:right w:val="single" w:color="CCCCCC" w:sz="4"/>
            </w:tcBorders>
            <w:shd w:fill="E5E7EB" w:color="auto" w:val="clear"/>
            <w:tcMar>
              <w:top w:type="dxa" w:w="80"/>
              <w:left w:type="dxa" w:w="120"/>
              <w:bottom w:type="dxa" w:w="80"/>
              <w:right w:type="dxa" w:w="120"/>
            </w:tcMar>
          </w:tcPr>
          <w:p>
            <w:r>
              <w:rPr>
                <w:b/>
                <w:bCs/>
              </w:rPr>
              <w:t xml:space="preserve">Supporting Policy section</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Automated de-provisioning / modification of access for terminated or transferred employees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§6 De-Provisioning of Access</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Defined and documented access control policy</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§5 Access Control</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Patches identified vulnerabilities within a defined SLA</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§7 Vulnerability Management and Patching</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Monitors end-of-life (EOL) software in use and updates policies to include EOL management practices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§8 End-of-Life Software Monitoring</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Created an Information Security Policy (ISP)</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This document in its entirety</w:t>
            </w:r>
          </w:p>
        </w:tc>
      </w:tr>
      <w:tr>
        <w:trPr>
          <w:tblHeader w:val="false"/>
        </w:trP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Performs periodic access reviews and audits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r>
              <w:t xml:space="preserve">§9 Periodic Access Review</w:t>
            </w:r>
          </w:p>
        </w:tc>
      </w:tr>
    </w:tbl>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Kenilworth Townhome HOA, Inc. — Information Security Policy v1.0 — Page </w:t>
    </w: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sz w:val="32"/>
      <w:szCs w:val="32"/>
    </w:rPr>
  </w:style>
  <w:style w:type="paragraph" w:styleId="Heading2">
    <w:name w:val="Heading 2"/>
    <w:basedOn w:val="Normal"/>
    <w:next w:val="Normal"/>
    <w:qFormat/>
    <w:pPr>
      <w:spacing w:after="120" w:before="240"/>
      <w:outlineLvl w:val="1"/>
    </w:pPr>
    <w:rPr>
      <w:rFonts w:ascii="Arial" w:cs="Arial" w:eastAsia="Arial" w:hAnsi="Arial"/>
      <w:b/>
      <w:bCs/>
      <w:sz w:val="26"/>
      <w:szCs w:val="26"/>
    </w:rPr>
  </w:style>
  <w:style w:type="paragraph" w:styleId="Heading3">
    <w:name w:val="Heading 3"/>
    <w:basedOn w:val="Normal"/>
    <w:next w:val="Normal"/>
    <w:qFormat/>
    <w:pPr>
      <w:spacing w:after="10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axd58n5hm63tlpotaczwo" Type="http://schemas.openxmlformats.org/officeDocument/2006/relationships/hyperlink" Target="https://kenilworth-hoa.com/data-retention" TargetMode="External"/><Relationship Id="rIdzdbxzesjfdd2nxztxs8cr" Type="http://schemas.openxmlformats.org/officeDocument/2006/relationships/hyperlink" Target="https://kenilworth-hoa.com/terms" TargetMode="External"/><Relationship Id="rId1fprk9c3i9tres7rynrc_" Type="http://schemas.openxmlformats.org/officeDocument/2006/relationships/hyperlink" Target="https://kenilworth-hoa.com/privacy"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creator>Kenilworth Townhome HOA, Inc.</dc:creator>
  <dc:description>Information Security Policy for Kenilworth Townhome HOA, Inc.</dc:description>
  <cp:lastModifiedBy>Un-named</cp:lastModifiedBy>
  <cp:revision>1</cp:revision>
  <dcterms:created xsi:type="dcterms:W3CDTF">2026-05-06T15:55:59.105Z</dcterms:created>
  <dcterms:modified xsi:type="dcterms:W3CDTF">2026-05-06T15:55:59.115Z</dcterms:modified>
</cp:coreProperties>
</file>

<file path=docProps/custom.xml><?xml version="1.0" encoding="utf-8"?>
<Properties xmlns="http://schemas.openxmlformats.org/officeDocument/2006/custom-properties" xmlns:vt="http://schemas.openxmlformats.org/officeDocument/2006/docPropsVTypes"/>
</file>